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AC5" w:rsidRDefault="00BD35A9" w:rsidP="00DD062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D35A9">
        <w:rPr>
          <w:rFonts w:cs="B Nazanin" w:hint="cs"/>
          <w:b/>
          <w:bCs/>
          <w:sz w:val="28"/>
          <w:szCs w:val="28"/>
          <w:rtl/>
          <w:lang w:bidi="fa-IR"/>
        </w:rPr>
        <w:t xml:space="preserve">از ابتدای سال 94 تا پایان شهریور ماه تعداد 24 همایش آموزش ایمنی اصناف  در سطح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شهرستانهای </w:t>
      </w:r>
      <w:r w:rsidRPr="00BD35A9">
        <w:rPr>
          <w:rFonts w:cs="B Nazanin" w:hint="cs"/>
          <w:b/>
          <w:bCs/>
          <w:sz w:val="28"/>
          <w:szCs w:val="28"/>
          <w:rtl/>
          <w:lang w:bidi="fa-IR"/>
        </w:rPr>
        <w:t>استان</w:t>
      </w:r>
      <w:r w:rsidR="00DD062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D062D" w:rsidRPr="00BD35A9">
        <w:rPr>
          <w:rFonts w:cs="B Nazanin" w:hint="cs"/>
          <w:b/>
          <w:bCs/>
          <w:sz w:val="28"/>
          <w:szCs w:val="28"/>
          <w:rtl/>
          <w:lang w:bidi="fa-IR"/>
        </w:rPr>
        <w:t>برگزار شده</w:t>
      </w:r>
      <w:r w:rsidRPr="00BD35A9">
        <w:rPr>
          <w:rFonts w:cs="B Nazanin" w:hint="cs"/>
          <w:b/>
          <w:bCs/>
          <w:sz w:val="28"/>
          <w:szCs w:val="28"/>
          <w:rtl/>
          <w:lang w:bidi="fa-IR"/>
        </w:rPr>
        <w:t xml:space="preserve"> است</w:t>
      </w:r>
      <w:r w:rsidR="00DD062D">
        <w:rPr>
          <w:rFonts w:cs="B Nazanin" w:hint="cs"/>
          <w:b/>
          <w:bCs/>
          <w:sz w:val="28"/>
          <w:szCs w:val="28"/>
          <w:rtl/>
          <w:lang w:bidi="fa-IR"/>
        </w:rPr>
        <w:t>.</w:t>
      </w:r>
      <w:r w:rsidRPr="00BD35A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D062D">
        <w:rPr>
          <w:rFonts w:cs="B Nazanin" w:hint="cs"/>
          <w:b/>
          <w:bCs/>
          <w:sz w:val="28"/>
          <w:szCs w:val="28"/>
          <w:rtl/>
          <w:lang w:bidi="fa-IR"/>
        </w:rPr>
        <w:t>(هر شهرستان دو مرتبه)</w:t>
      </w:r>
    </w:p>
    <w:p w:rsidR="00DD062D" w:rsidRPr="00BD35A9" w:rsidRDefault="00DD062D" w:rsidP="00DD062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گزارش این همایشات به شرح زیر میباشد:</w:t>
      </w:r>
    </w:p>
    <w:p w:rsidR="00BD35A9" w:rsidRDefault="00BD35A9" w:rsidP="00BD35A9">
      <w:pPr>
        <w:bidi/>
        <w:rPr>
          <w:rtl/>
          <w:lang w:bidi="fa-IR"/>
        </w:rPr>
      </w:pPr>
      <w:r w:rsidRPr="00BD35A9">
        <w:rPr>
          <w:noProof/>
          <w:rtl/>
        </w:rPr>
        <w:drawing>
          <wp:inline distT="0" distB="0" distL="0" distR="0">
            <wp:extent cx="5486400" cy="5114925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D062D" w:rsidRDefault="00DD062D" w:rsidP="00DD062D">
      <w:pPr>
        <w:bidi/>
        <w:rPr>
          <w:rtl/>
          <w:lang w:bidi="fa-IR"/>
        </w:rPr>
      </w:pPr>
      <w:r w:rsidRPr="00DD062D">
        <w:rPr>
          <w:noProof/>
          <w:rtl/>
        </w:rPr>
        <w:lastRenderedPageBreak/>
        <w:drawing>
          <wp:inline distT="0" distB="0" distL="0" distR="0">
            <wp:extent cx="5486400" cy="5057775"/>
            <wp:effectExtent l="19050" t="0" r="1905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Default="00DD062D" w:rsidP="00DD062D">
      <w:pPr>
        <w:bidi/>
        <w:rPr>
          <w:rtl/>
          <w:lang w:bidi="fa-IR"/>
        </w:rPr>
      </w:pPr>
    </w:p>
    <w:p w:rsidR="00DD062D" w:rsidRPr="00DD062D" w:rsidRDefault="00DD062D" w:rsidP="00DD062D">
      <w:pPr>
        <w:bidi/>
        <w:rPr>
          <w:rFonts w:cs="B Nazanin"/>
          <w:b/>
          <w:bCs/>
          <w:rtl/>
          <w:lang w:bidi="fa-IR"/>
        </w:rPr>
      </w:pPr>
      <w:r w:rsidRPr="00DD062D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مقایسه حضور افراد در دور اول و دوم همایش آموزش ایمنی اصناف</w:t>
      </w:r>
    </w:p>
    <w:p w:rsidR="00DD062D" w:rsidRDefault="00DD062D" w:rsidP="00DD062D">
      <w:pPr>
        <w:bidi/>
        <w:rPr>
          <w:rtl/>
          <w:lang w:bidi="fa-IR"/>
        </w:rPr>
      </w:pPr>
      <w:r w:rsidRPr="00DD062D">
        <w:rPr>
          <w:noProof/>
          <w:rtl/>
        </w:rPr>
        <w:drawing>
          <wp:inline distT="0" distB="0" distL="0" distR="0">
            <wp:extent cx="5486400" cy="3994150"/>
            <wp:effectExtent l="19050" t="0" r="19050" b="63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Default="001E7AA0" w:rsidP="001E7AA0">
      <w:pPr>
        <w:bidi/>
        <w:rPr>
          <w:rtl/>
          <w:lang w:bidi="fa-IR"/>
        </w:rPr>
      </w:pPr>
    </w:p>
    <w:p w:rsidR="001E7AA0" w:rsidRPr="00C923AD" w:rsidRDefault="001E7AA0" w:rsidP="001E7AA0">
      <w:pPr>
        <w:bidi/>
        <w:rPr>
          <w:rFonts w:cs="B Nazanin"/>
          <w:sz w:val="36"/>
          <w:szCs w:val="36"/>
          <w:rtl/>
          <w:lang w:bidi="fa-IR"/>
        </w:rPr>
      </w:pPr>
      <w:r w:rsidRPr="00C923AD">
        <w:rPr>
          <w:rFonts w:cs="B Nazanin" w:hint="cs"/>
          <w:sz w:val="36"/>
          <w:szCs w:val="36"/>
          <w:rtl/>
          <w:lang w:bidi="fa-IR"/>
        </w:rPr>
        <w:lastRenderedPageBreak/>
        <w:t>خلاصه گزارش</w:t>
      </w:r>
    </w:p>
    <w:p w:rsidR="00DD062D" w:rsidRDefault="00DD062D" w:rsidP="00DD062D">
      <w:pPr>
        <w:bidi/>
        <w:rPr>
          <w:rtl/>
          <w:lang w:bidi="fa-IR"/>
        </w:rPr>
      </w:pPr>
    </w:p>
    <w:tbl>
      <w:tblPr>
        <w:bidiVisual/>
        <w:tblW w:w="9560" w:type="dxa"/>
        <w:tblInd w:w="93" w:type="dxa"/>
        <w:tblLook w:val="04A0"/>
      </w:tblPr>
      <w:tblGrid>
        <w:gridCol w:w="960"/>
        <w:gridCol w:w="1120"/>
        <w:gridCol w:w="1060"/>
        <w:gridCol w:w="1360"/>
        <w:gridCol w:w="920"/>
        <w:gridCol w:w="1180"/>
        <w:gridCol w:w="1080"/>
        <w:gridCol w:w="1000"/>
        <w:gridCol w:w="880"/>
      </w:tblGrid>
      <w:tr w:rsidR="001E7AA0" w:rsidRPr="001E7AA0" w:rsidTr="001E7AA0">
        <w:trPr>
          <w:trHeight w:val="15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ردیف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مدیریت توزیع برق شهرستان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تعداد جلسات برگزاری همایش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تعداد نفرات شرکت کننده در همایش 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تعداد پکیج های هدیه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تعداد سی دی های توزیع شده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تعداد اس ام اس های ارسالی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تعداد بروشور توزیع شده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نفر ساعت آموزش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اراک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181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181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3620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4000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543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ساوه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2100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4000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315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خمین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91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91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1820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273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شازند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110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2200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330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زرندیه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65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65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1300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195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فراهان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700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1500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105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آشتیان 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620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93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تفرش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560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1500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84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کمیجان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700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105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خنداب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30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600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90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محلات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88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88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1760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264</w:t>
            </w:r>
          </w:p>
        </w:tc>
      </w:tr>
      <w:tr w:rsidR="001E7AA0" w:rsidRPr="001E7AA0" w:rsidTr="001E7AA0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دلیجان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58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1160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174</w:t>
            </w:r>
          </w:p>
        </w:tc>
      </w:tr>
      <w:tr w:rsidR="001E7AA0" w:rsidRPr="001E7AA0" w:rsidTr="001E7AA0">
        <w:trPr>
          <w:trHeight w:val="39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مجموع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857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857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1500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17140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24000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AA0" w:rsidRPr="001E7AA0" w:rsidRDefault="001E7AA0" w:rsidP="001E7AA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1E7AA0">
              <w:rPr>
                <w:rFonts w:ascii="Calibri" w:eastAsia="Times New Roman" w:hAnsi="Calibri" w:cs="B Nazanin" w:hint="cs"/>
                <w:b/>
                <w:bCs/>
                <w:color w:val="000000"/>
              </w:rPr>
              <w:t>2571</w:t>
            </w:r>
          </w:p>
        </w:tc>
      </w:tr>
    </w:tbl>
    <w:p w:rsidR="00DD062D" w:rsidRPr="00CF4CBC" w:rsidRDefault="00DD062D" w:rsidP="00DD062D">
      <w:pPr>
        <w:bidi/>
        <w:rPr>
          <w:rFonts w:cs="B Nazanin"/>
          <w:lang w:bidi="fa-IR"/>
        </w:rPr>
      </w:pP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t>انعقاد تفاهم نامه 3 جانبه با اداره کل پزشکی قانونی استان مرکزی و مرکز مدیزیت حوادث و فوریتهای پزشکی استان</w:t>
      </w: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t>برگزاری بیش از 5000 نفر ساعت آموزش ایمنی چهره به چهره</w:t>
      </w: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t>تهیه و توزیع بالغ بر30000 پوستر و پمفلت و...</w:t>
      </w: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t>راه اندازی سامانه ارسال پیام کوتاه  ایمنی مرتبط با مقتضیات زمان حوادث با ارسال بیش از30000پیام کوتاه</w:t>
      </w: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t>اطلاع رسانی از طریق صدا و سیما</w:t>
      </w: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t>نصب بنرهای مرتبط با حوادث مردمی در محلهای خطر شناسایی شده</w:t>
      </w:r>
    </w:p>
    <w:p w:rsidR="00CF4CBC" w:rsidRPr="00CF4CBC" w:rsidRDefault="00CF4CBC" w:rsidP="00CF4CBC">
      <w:pPr>
        <w:pStyle w:val="ListParagraph"/>
        <w:numPr>
          <w:ilvl w:val="0"/>
          <w:numId w:val="1"/>
        </w:numPr>
        <w:bidi/>
        <w:rPr>
          <w:rFonts w:cs="B Nazanin" w:hint="cs"/>
          <w:b/>
          <w:bCs/>
          <w:sz w:val="28"/>
          <w:szCs w:val="28"/>
          <w:rtl/>
          <w:lang w:bidi="fa-IR"/>
        </w:rPr>
      </w:pPr>
      <w:r w:rsidRPr="00CF4CB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بهرمندی از سامانه 10001000121 در جهت شناسایی و رفع کانون خطر</w:t>
      </w:r>
    </w:p>
    <w:p w:rsidR="00C923AD" w:rsidRDefault="00C923AD" w:rsidP="00C923AD">
      <w:pPr>
        <w:bidi/>
        <w:rPr>
          <w:rtl/>
          <w:lang w:bidi="fa-IR"/>
        </w:rPr>
      </w:pP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تصاویر مربوط به</w:t>
      </w:r>
      <w:r w:rsidRPr="00C923AD">
        <w:rPr>
          <w:rFonts w:cs="B Nazanin" w:hint="cs"/>
          <w:b/>
          <w:bCs/>
          <w:sz w:val="28"/>
          <w:szCs w:val="28"/>
          <w:rtl/>
          <w:lang w:bidi="fa-IR"/>
        </w:rPr>
        <w:t xml:space="preserve"> این همایشها</w:t>
      </w: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923AD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486400" cy="385127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Content Placeholder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923AD">
        <w:rPr>
          <w:rFonts w:cs="B Nazani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486400" cy="398081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Content Placeholder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C923AD" w:rsidRDefault="00C923AD" w:rsidP="00C923AD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CE76EB" w:rsidRPr="00CE76EB" w:rsidRDefault="00CE76EB" w:rsidP="00C923AD">
      <w:pPr>
        <w:bidi/>
        <w:rPr>
          <w:rFonts w:cs="B Nazanin"/>
          <w:b/>
          <w:bCs/>
          <w:sz w:val="36"/>
          <w:szCs w:val="36"/>
          <w:lang w:bidi="fa-IR"/>
        </w:rPr>
      </w:pPr>
      <w:r w:rsidRPr="00CE76EB">
        <w:rPr>
          <w:rFonts w:cs="B Nazanin" w:hint="cs"/>
          <w:b/>
          <w:bCs/>
          <w:sz w:val="36"/>
          <w:szCs w:val="36"/>
          <w:rtl/>
          <w:lang w:bidi="fa-IR"/>
        </w:rPr>
        <w:t>همایش ایمنی هیئات مذهبی</w:t>
      </w:r>
    </w:p>
    <w:p w:rsidR="00C923AD" w:rsidRDefault="00C923AD" w:rsidP="00CE76E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همچنین به مناسبت فرا رسیدن سرور و سالار شهیدان نیز در پائیز سال 94 تعداد 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8 همایش آموزش ایمنی هیئات عزاداری در شهرهای اراک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 ساوه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 محلات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 دلیجان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 شازند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 خنداب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 xml:space="preserve"> کمیجان </w:t>
      </w:r>
      <w:r w:rsidR="00E55328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="00E55328">
        <w:rPr>
          <w:rFonts w:cs="B Nazanin" w:hint="cs"/>
          <w:b/>
          <w:bCs/>
          <w:sz w:val="28"/>
          <w:szCs w:val="28"/>
          <w:rtl/>
          <w:lang w:bidi="fa-IR"/>
        </w:rPr>
        <w:t>فراهان برگزار گردید که تصاویر مربوط به این جلسات در زیر آمده است:</w:t>
      </w:r>
    </w:p>
    <w:p w:rsidR="00E55328" w:rsidRDefault="00E55328" w:rsidP="00E5532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E55328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486400" cy="3091180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28" w:rsidRDefault="00E55328" w:rsidP="00E5532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E55328" w:rsidRDefault="00E55328" w:rsidP="00E5532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E55328" w:rsidRDefault="00E55328" w:rsidP="00E5532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E55328" w:rsidRDefault="00E55328" w:rsidP="00E5532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E55328" w:rsidRPr="00C923AD" w:rsidRDefault="00E55328" w:rsidP="00E5532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sectPr w:rsidR="00E55328" w:rsidRPr="00C923AD" w:rsidSect="005A5AC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12C9A"/>
    <w:multiLevelType w:val="hybridMultilevel"/>
    <w:tmpl w:val="00947138"/>
    <w:lvl w:ilvl="0" w:tplc="23DE85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35A9"/>
    <w:rsid w:val="001E7AA0"/>
    <w:rsid w:val="002A71F5"/>
    <w:rsid w:val="003203AC"/>
    <w:rsid w:val="005A5AC5"/>
    <w:rsid w:val="009914F7"/>
    <w:rsid w:val="00BD35A9"/>
    <w:rsid w:val="00C923AD"/>
    <w:rsid w:val="00CE76EB"/>
    <w:rsid w:val="00CF4CBC"/>
    <w:rsid w:val="00D42E7B"/>
    <w:rsid w:val="00DD062D"/>
    <w:rsid w:val="00E5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C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G:\asnaf\Book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G:\asnaf\Book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G:\asnaf\Book1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6"/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6062772213117189"/>
          <c:y val="3.6596280968781245E-2"/>
        </c:manualLayout>
      </c:layout>
    </c:title>
    <c:view3D>
      <c:rotY val="34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Sheet1!$C$3</c:f>
              <c:strCache>
                <c:ptCount val="1"/>
                <c:pt idx="0">
                  <c:v>تعداد افراد شرکت کننده در دور اول همایش</c:v>
                </c:pt>
              </c:strCache>
            </c:strRef>
          </c:tx>
          <c:cat>
            <c:strRef>
              <c:f>Sheet1!$B$4:$B$15</c:f>
              <c:strCache>
                <c:ptCount val="12"/>
                <c:pt idx="0">
                  <c:v>اراک</c:v>
                </c:pt>
                <c:pt idx="1">
                  <c:v>ساوه </c:v>
                </c:pt>
                <c:pt idx="2">
                  <c:v>خمین</c:v>
                </c:pt>
                <c:pt idx="3">
                  <c:v>شازند </c:v>
                </c:pt>
                <c:pt idx="4">
                  <c:v>زرندیه</c:v>
                </c:pt>
                <c:pt idx="5">
                  <c:v>فراهان</c:v>
                </c:pt>
                <c:pt idx="6">
                  <c:v>آشتیان</c:v>
                </c:pt>
                <c:pt idx="7">
                  <c:v>تفرش</c:v>
                </c:pt>
                <c:pt idx="8">
                  <c:v>کمیجان</c:v>
                </c:pt>
                <c:pt idx="9">
                  <c:v>خنداب</c:v>
                </c:pt>
                <c:pt idx="10">
                  <c:v>محلات</c:v>
                </c:pt>
                <c:pt idx="11">
                  <c:v>دلیجان</c:v>
                </c:pt>
              </c:strCache>
            </c:strRef>
          </c:cat>
          <c:val>
            <c:numRef>
              <c:f>Sheet1!$C$4:$C$15</c:f>
              <c:numCache>
                <c:formatCode>General</c:formatCode>
                <c:ptCount val="12"/>
                <c:pt idx="0">
                  <c:v>78</c:v>
                </c:pt>
                <c:pt idx="1">
                  <c:v>38</c:v>
                </c:pt>
                <c:pt idx="2">
                  <c:v>38</c:v>
                </c:pt>
                <c:pt idx="3">
                  <c:v>51</c:v>
                </c:pt>
                <c:pt idx="4">
                  <c:v>20</c:v>
                </c:pt>
                <c:pt idx="5">
                  <c:v>12</c:v>
                </c:pt>
                <c:pt idx="6">
                  <c:v>10</c:v>
                </c:pt>
                <c:pt idx="7">
                  <c:v>9</c:v>
                </c:pt>
                <c:pt idx="8">
                  <c:v>13</c:v>
                </c:pt>
                <c:pt idx="9">
                  <c:v>11</c:v>
                </c:pt>
                <c:pt idx="10">
                  <c:v>40</c:v>
                </c:pt>
                <c:pt idx="11">
                  <c:v>22</c:v>
                </c:pt>
              </c:numCache>
            </c:numRef>
          </c:val>
        </c:ser>
        <c:shape val="box"/>
        <c:axId val="88462848"/>
        <c:axId val="88504192"/>
        <c:axId val="0"/>
      </c:bar3DChart>
      <c:catAx>
        <c:axId val="88462848"/>
        <c:scaling>
          <c:orientation val="maxMin"/>
        </c:scaling>
        <c:axPos val="b"/>
        <c:tickLblPos val="nextTo"/>
        <c:crossAx val="88504192"/>
        <c:crosses val="autoZero"/>
        <c:auto val="1"/>
        <c:lblAlgn val="ctr"/>
        <c:lblOffset val="100"/>
      </c:catAx>
      <c:valAx>
        <c:axId val="88504192"/>
        <c:scaling>
          <c:orientation val="minMax"/>
        </c:scaling>
        <c:axPos val="r"/>
        <c:majorGridlines/>
        <c:numFmt formatCode="General" sourceLinked="1"/>
        <c:tickLblPos val="nextTo"/>
        <c:crossAx val="88462848"/>
        <c:crosses val="autoZero"/>
        <c:crossBetween val="between"/>
      </c:valAx>
    </c:plotArea>
    <c:legend>
      <c:legendPos val="l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/>
    <c:view3D>
      <c:rotY val="34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Sheet1!$D$3</c:f>
              <c:strCache>
                <c:ptCount val="1"/>
                <c:pt idx="0">
                  <c:v>تعداد افراد شرکت کننده در دور دوم همایش</c:v>
                </c:pt>
              </c:strCache>
            </c:strRef>
          </c:tx>
          <c:cat>
            <c:strRef>
              <c:f>Sheet1!$B$4:$B$15</c:f>
              <c:strCache>
                <c:ptCount val="12"/>
                <c:pt idx="0">
                  <c:v>اراک</c:v>
                </c:pt>
                <c:pt idx="1">
                  <c:v>ساوه </c:v>
                </c:pt>
                <c:pt idx="2">
                  <c:v>خمین</c:v>
                </c:pt>
                <c:pt idx="3">
                  <c:v>شازند </c:v>
                </c:pt>
                <c:pt idx="4">
                  <c:v>زرندیه</c:v>
                </c:pt>
                <c:pt idx="5">
                  <c:v>فراهان</c:v>
                </c:pt>
                <c:pt idx="6">
                  <c:v>آشتیان</c:v>
                </c:pt>
                <c:pt idx="7">
                  <c:v>تفرش</c:v>
                </c:pt>
                <c:pt idx="8">
                  <c:v>کمیجان</c:v>
                </c:pt>
                <c:pt idx="9">
                  <c:v>خنداب</c:v>
                </c:pt>
                <c:pt idx="10">
                  <c:v>محلات</c:v>
                </c:pt>
                <c:pt idx="11">
                  <c:v>دلیجان</c:v>
                </c:pt>
              </c:strCache>
            </c:strRef>
          </c:cat>
          <c:val>
            <c:numRef>
              <c:f>Sheet1!$D$4:$D$15</c:f>
              <c:numCache>
                <c:formatCode>General</c:formatCode>
                <c:ptCount val="12"/>
                <c:pt idx="0">
                  <c:v>100</c:v>
                </c:pt>
                <c:pt idx="1">
                  <c:v>60</c:v>
                </c:pt>
                <c:pt idx="2">
                  <c:v>50</c:v>
                </c:pt>
                <c:pt idx="3">
                  <c:v>60</c:v>
                </c:pt>
                <c:pt idx="4">
                  <c:v>46</c:v>
                </c:pt>
                <c:pt idx="5">
                  <c:v>25</c:v>
                </c:pt>
                <c:pt idx="6">
                  <c:v>23</c:v>
                </c:pt>
                <c:pt idx="7">
                  <c:v>20</c:v>
                </c:pt>
                <c:pt idx="8">
                  <c:v>24</c:v>
                </c:pt>
                <c:pt idx="9">
                  <c:v>21</c:v>
                </c:pt>
                <c:pt idx="10">
                  <c:v>49</c:v>
                </c:pt>
                <c:pt idx="11">
                  <c:v>37</c:v>
                </c:pt>
              </c:numCache>
            </c:numRef>
          </c:val>
        </c:ser>
        <c:shape val="box"/>
        <c:axId val="86757760"/>
        <c:axId val="86759296"/>
        <c:axId val="0"/>
      </c:bar3DChart>
      <c:catAx>
        <c:axId val="86757760"/>
        <c:scaling>
          <c:orientation val="maxMin"/>
        </c:scaling>
        <c:axPos val="b"/>
        <c:tickLblPos val="nextTo"/>
        <c:crossAx val="86759296"/>
        <c:crosses val="autoZero"/>
        <c:auto val="1"/>
        <c:lblAlgn val="ctr"/>
        <c:lblOffset val="100"/>
      </c:catAx>
      <c:valAx>
        <c:axId val="86759296"/>
        <c:scaling>
          <c:orientation val="minMax"/>
        </c:scaling>
        <c:axPos val="r"/>
        <c:majorGridlines/>
        <c:numFmt formatCode="General" sourceLinked="1"/>
        <c:tickLblPos val="nextTo"/>
        <c:crossAx val="86757760"/>
        <c:crosses val="autoZero"/>
        <c:crossBetween val="between"/>
      </c:valAx>
    </c:plotArea>
    <c:legend>
      <c:legendPos val="l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view3D>
      <c:rotY val="34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Sheet1!$C$3</c:f>
              <c:strCache>
                <c:ptCount val="1"/>
                <c:pt idx="0">
                  <c:v>تعداد افراد شرکت کننده در دور اول همایش</c:v>
                </c:pt>
              </c:strCache>
            </c:strRef>
          </c:tx>
          <c:cat>
            <c:strRef>
              <c:f>Sheet1!$B$4:$B$15</c:f>
              <c:strCache>
                <c:ptCount val="12"/>
                <c:pt idx="0">
                  <c:v>اراک</c:v>
                </c:pt>
                <c:pt idx="1">
                  <c:v>ساوه </c:v>
                </c:pt>
                <c:pt idx="2">
                  <c:v>خمین</c:v>
                </c:pt>
                <c:pt idx="3">
                  <c:v>شازند </c:v>
                </c:pt>
                <c:pt idx="4">
                  <c:v>زرندیه</c:v>
                </c:pt>
                <c:pt idx="5">
                  <c:v>فراهان</c:v>
                </c:pt>
                <c:pt idx="6">
                  <c:v>آشتیان</c:v>
                </c:pt>
                <c:pt idx="7">
                  <c:v>تفرش</c:v>
                </c:pt>
                <c:pt idx="8">
                  <c:v>کمیجان</c:v>
                </c:pt>
                <c:pt idx="9">
                  <c:v>خنداب</c:v>
                </c:pt>
                <c:pt idx="10">
                  <c:v>محلات</c:v>
                </c:pt>
                <c:pt idx="11">
                  <c:v>دلیجان</c:v>
                </c:pt>
              </c:strCache>
            </c:strRef>
          </c:cat>
          <c:val>
            <c:numRef>
              <c:f>Sheet1!$C$4:$C$15</c:f>
              <c:numCache>
                <c:formatCode>General</c:formatCode>
                <c:ptCount val="12"/>
                <c:pt idx="0">
                  <c:v>78</c:v>
                </c:pt>
                <c:pt idx="1">
                  <c:v>38</c:v>
                </c:pt>
                <c:pt idx="2">
                  <c:v>38</c:v>
                </c:pt>
                <c:pt idx="3">
                  <c:v>51</c:v>
                </c:pt>
                <c:pt idx="4">
                  <c:v>20</c:v>
                </c:pt>
                <c:pt idx="5">
                  <c:v>12</c:v>
                </c:pt>
                <c:pt idx="6">
                  <c:v>10</c:v>
                </c:pt>
                <c:pt idx="7">
                  <c:v>9</c:v>
                </c:pt>
                <c:pt idx="8">
                  <c:v>13</c:v>
                </c:pt>
                <c:pt idx="9">
                  <c:v>11</c:v>
                </c:pt>
                <c:pt idx="10">
                  <c:v>40</c:v>
                </c:pt>
                <c:pt idx="11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تعداد افراد شرکت کننده در دور دوم همایش</c:v>
                </c:pt>
              </c:strCache>
            </c:strRef>
          </c:tx>
          <c:cat>
            <c:strRef>
              <c:f>Sheet1!$B$4:$B$15</c:f>
              <c:strCache>
                <c:ptCount val="12"/>
                <c:pt idx="0">
                  <c:v>اراک</c:v>
                </c:pt>
                <c:pt idx="1">
                  <c:v>ساوه </c:v>
                </c:pt>
                <c:pt idx="2">
                  <c:v>خمین</c:v>
                </c:pt>
                <c:pt idx="3">
                  <c:v>شازند </c:v>
                </c:pt>
                <c:pt idx="4">
                  <c:v>زرندیه</c:v>
                </c:pt>
                <c:pt idx="5">
                  <c:v>فراهان</c:v>
                </c:pt>
                <c:pt idx="6">
                  <c:v>آشتیان</c:v>
                </c:pt>
                <c:pt idx="7">
                  <c:v>تفرش</c:v>
                </c:pt>
                <c:pt idx="8">
                  <c:v>کمیجان</c:v>
                </c:pt>
                <c:pt idx="9">
                  <c:v>خنداب</c:v>
                </c:pt>
                <c:pt idx="10">
                  <c:v>محلات</c:v>
                </c:pt>
                <c:pt idx="11">
                  <c:v>دلیجان</c:v>
                </c:pt>
              </c:strCache>
            </c:strRef>
          </c:cat>
          <c:val>
            <c:numRef>
              <c:f>Sheet1!$D$4:$D$15</c:f>
              <c:numCache>
                <c:formatCode>General</c:formatCode>
                <c:ptCount val="12"/>
                <c:pt idx="0">
                  <c:v>100</c:v>
                </c:pt>
                <c:pt idx="1">
                  <c:v>60</c:v>
                </c:pt>
                <c:pt idx="2">
                  <c:v>50</c:v>
                </c:pt>
                <c:pt idx="3">
                  <c:v>60</c:v>
                </c:pt>
                <c:pt idx="4">
                  <c:v>46</c:v>
                </c:pt>
                <c:pt idx="5">
                  <c:v>25</c:v>
                </c:pt>
                <c:pt idx="6">
                  <c:v>23</c:v>
                </c:pt>
                <c:pt idx="7">
                  <c:v>20</c:v>
                </c:pt>
                <c:pt idx="8">
                  <c:v>24</c:v>
                </c:pt>
                <c:pt idx="9">
                  <c:v>21</c:v>
                </c:pt>
                <c:pt idx="10">
                  <c:v>49</c:v>
                </c:pt>
                <c:pt idx="11">
                  <c:v>37</c:v>
                </c:pt>
              </c:numCache>
            </c:numRef>
          </c:val>
        </c:ser>
        <c:shape val="box"/>
        <c:axId val="86822912"/>
        <c:axId val="86824448"/>
        <c:axId val="0"/>
      </c:bar3DChart>
      <c:catAx>
        <c:axId val="86822912"/>
        <c:scaling>
          <c:orientation val="maxMin"/>
        </c:scaling>
        <c:axPos val="b"/>
        <c:tickLblPos val="nextTo"/>
        <c:crossAx val="86824448"/>
        <c:crosses val="autoZero"/>
        <c:auto val="1"/>
        <c:lblAlgn val="ctr"/>
        <c:lblOffset val="100"/>
      </c:catAx>
      <c:valAx>
        <c:axId val="86824448"/>
        <c:scaling>
          <c:orientation val="minMax"/>
        </c:scaling>
        <c:axPos val="r"/>
        <c:majorGridlines/>
        <c:numFmt formatCode="General" sourceLinked="1"/>
        <c:tickLblPos val="nextTo"/>
        <c:crossAx val="86822912"/>
        <c:crosses val="autoZero"/>
        <c:crossBetween val="between"/>
      </c:valAx>
    </c:plotArea>
    <c:legend>
      <c:legendPos val="l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sample 1">
    <a:dk1>
      <a:srgbClr val="48806B"/>
    </a:dk1>
    <a:lt1>
      <a:srgbClr val="FFFFFF"/>
    </a:lt1>
    <a:dk2>
      <a:srgbClr val="77956D"/>
    </a:dk2>
    <a:lt2>
      <a:srgbClr val="C0C0C0"/>
    </a:lt2>
    <a:accent1>
      <a:srgbClr val="6BB9C3"/>
    </a:accent1>
    <a:accent2>
      <a:srgbClr val="E7BA15"/>
    </a:accent2>
    <a:accent3>
      <a:srgbClr val="FFFFFF"/>
    </a:accent3>
    <a:accent4>
      <a:srgbClr val="3C6C5A"/>
    </a:accent4>
    <a:accent5>
      <a:srgbClr val="BAD9DE"/>
    </a:accent5>
    <a:accent6>
      <a:srgbClr val="D1A812"/>
    </a:accent6>
    <a:hlink>
      <a:srgbClr val="76C14D"/>
    </a:hlink>
    <a:folHlink>
      <a:srgbClr val="B0C29C"/>
    </a:folHlink>
  </a:clrScheme>
  <a:fontScheme name="sample">
    <a:majorFont>
      <a:latin typeface="Verdana"/>
      <a:ea typeface=""/>
      <a:cs typeface=""/>
    </a:majorFont>
    <a:minorFont>
      <a:latin typeface="Verdana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sample 1">
    <a:dk1>
      <a:srgbClr val="48806B"/>
    </a:dk1>
    <a:lt1>
      <a:srgbClr val="FFFFFF"/>
    </a:lt1>
    <a:dk2>
      <a:srgbClr val="77956D"/>
    </a:dk2>
    <a:lt2>
      <a:srgbClr val="C0C0C0"/>
    </a:lt2>
    <a:accent1>
      <a:srgbClr val="6BB9C3"/>
    </a:accent1>
    <a:accent2>
      <a:srgbClr val="E7BA15"/>
    </a:accent2>
    <a:accent3>
      <a:srgbClr val="FFFFFF"/>
    </a:accent3>
    <a:accent4>
      <a:srgbClr val="3C6C5A"/>
    </a:accent4>
    <a:accent5>
      <a:srgbClr val="BAD9DE"/>
    </a:accent5>
    <a:accent6>
      <a:srgbClr val="D1A812"/>
    </a:accent6>
    <a:hlink>
      <a:srgbClr val="76C14D"/>
    </a:hlink>
    <a:folHlink>
      <a:srgbClr val="B0C29C"/>
    </a:folHlink>
  </a:clrScheme>
  <a:fontScheme name="sample">
    <a:majorFont>
      <a:latin typeface="Verdana"/>
      <a:ea typeface=""/>
      <a:cs typeface=""/>
    </a:majorFont>
    <a:minorFont>
      <a:latin typeface="Verdana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sample 1">
    <a:dk1>
      <a:srgbClr val="48806B"/>
    </a:dk1>
    <a:lt1>
      <a:srgbClr val="FFFFFF"/>
    </a:lt1>
    <a:dk2>
      <a:srgbClr val="77956D"/>
    </a:dk2>
    <a:lt2>
      <a:srgbClr val="C0C0C0"/>
    </a:lt2>
    <a:accent1>
      <a:srgbClr val="6BB9C3"/>
    </a:accent1>
    <a:accent2>
      <a:srgbClr val="E7BA15"/>
    </a:accent2>
    <a:accent3>
      <a:srgbClr val="FFFFFF"/>
    </a:accent3>
    <a:accent4>
      <a:srgbClr val="3C6C5A"/>
    </a:accent4>
    <a:accent5>
      <a:srgbClr val="BAD9DE"/>
    </a:accent5>
    <a:accent6>
      <a:srgbClr val="D1A812"/>
    </a:accent6>
    <a:hlink>
      <a:srgbClr val="76C14D"/>
    </a:hlink>
    <a:folHlink>
      <a:srgbClr val="B0C29C"/>
    </a:folHlink>
  </a:clrScheme>
  <a:fontScheme name="sample">
    <a:majorFont>
      <a:latin typeface="Verdana"/>
      <a:ea typeface=""/>
      <a:cs typeface=""/>
    </a:majorFont>
    <a:minorFont>
      <a:latin typeface="Verdana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2758</dc:creator>
  <cp:keywords/>
  <dc:description/>
  <cp:lastModifiedBy>2758</cp:lastModifiedBy>
  <cp:revision>5</cp:revision>
  <dcterms:created xsi:type="dcterms:W3CDTF">2015-10-28T09:33:00Z</dcterms:created>
  <dcterms:modified xsi:type="dcterms:W3CDTF">2015-12-09T10:47:00Z</dcterms:modified>
</cp:coreProperties>
</file>